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0023-01-2024-0012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  <w:r>
        <w:rPr>
          <w:rFonts w:ascii="Times New Roman" w:eastAsia="Times New Roman" w:hAnsi="Times New Roman" w:cs="Times New Roman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312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 Уляшиной Т.В.,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гражданки Уляшиной Татьяны Вячеславовны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гражданки РФ,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ХМАО -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привлекаемой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ч.1 </w:t>
      </w:r>
      <w:r>
        <w:rPr>
          <w:rFonts w:ascii="Times New Roman" w:eastAsia="Times New Roman" w:hAnsi="Times New Roman" w:cs="Times New Roman"/>
          <w:sz w:val="25"/>
          <w:szCs w:val="25"/>
        </w:rPr>
        <w:t>ст. 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марта 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находясь </w:t>
      </w:r>
      <w:r>
        <w:rPr>
          <w:rFonts w:ascii="Times New Roman" w:eastAsia="Times New Roman" w:hAnsi="Times New Roman" w:cs="Times New Roman"/>
          <w:sz w:val="25"/>
          <w:szCs w:val="25"/>
        </w:rPr>
        <w:t>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5"/>
          <w:szCs w:val="25"/>
        </w:rPr>
        <w:t>17.8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 на не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мирового судьи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 5-50-2301/2024</w:t>
      </w:r>
      <w:r>
        <w:rPr>
          <w:rFonts w:ascii="Times New Roman" w:eastAsia="Times New Roman" w:hAnsi="Times New Roman" w:cs="Times New Roman"/>
          <w:sz w:val="25"/>
          <w:szCs w:val="25"/>
        </w:rPr>
        <w:t>, 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5"/>
          <w:szCs w:val="25"/>
        </w:rPr>
        <w:t>не оплачивал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совершенном правонарушении раскаял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признательными показаниями,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74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16 апреля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мирового судьи судебного участка № 1 Нижневартовского судебного района № 5-50-2301/2024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17.8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Уляшиной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сводка информации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физическое лицо на имя </w:t>
      </w: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п</w:t>
      </w:r>
      <w:r>
        <w:rPr>
          <w:rFonts w:ascii="Times New Roman" w:eastAsia="Times New Roman" w:hAnsi="Times New Roman" w:cs="Times New Roman"/>
          <w:sz w:val="25"/>
          <w:szCs w:val="25"/>
        </w:rPr>
        <w:t>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личность виновного, его имущественное положение, </w:t>
      </w:r>
      <w:r>
        <w:rPr>
          <w:rFonts w:ascii="Times New Roman" w:eastAsia="Times New Roman" w:hAnsi="Times New Roman" w:cs="Times New Roman"/>
          <w:sz w:val="25"/>
          <w:szCs w:val="25"/>
        </w:rPr>
        <w:t>его состояние здоровья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 в максимальном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1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ст.20.2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ст.ст.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Уляшину Татьяну Вячеславовну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статьи </w:t>
      </w:r>
      <w:r>
        <w:rPr>
          <w:rFonts w:ascii="Times New Roman" w:eastAsia="Times New Roman" w:hAnsi="Times New Roman" w:cs="Times New Roman"/>
          <w:sz w:val="25"/>
          <w:szCs w:val="25"/>
        </w:rPr>
        <w:t>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шестьсот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рублей. 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Ханты-Мансийск, БИК 007162163 ИНН 8601073664, КПП 860101001,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0412365400235003122420114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72011601203019000140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0412365400235003122420114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312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-2301/2024 от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312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2034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5rplc-19">
    <w:name w:val="cat-Address grp-5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4080-6E30-480B-AD40-8019C41A5E4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